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60" w:rsidRPr="00B8231D" w:rsidRDefault="0087596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entury" w:hAnsi="Century"/>
          <w:b/>
          <w:bCs/>
          <w:smallCaps/>
          <w:sz w:val="32"/>
        </w:rPr>
      </w:pPr>
      <w:r>
        <w:rPr>
          <w:rFonts w:ascii="Century" w:hAnsi="Century"/>
          <w:b/>
          <w:bCs/>
          <w:smallCaps/>
          <w:sz w:val="32"/>
        </w:rPr>
        <w:t xml:space="preserve">Οδηγίες Για Τη Διαδικασία Επιλογής Εξερχόμενων Φοιτητών Για Εντατικά Γλωσσικά Μαθήματα </w:t>
      </w:r>
      <w:r>
        <w:rPr>
          <w:rFonts w:ascii="Century" w:hAnsi="Century"/>
          <w:b/>
          <w:bCs/>
          <w:smallCaps/>
          <w:sz w:val="32"/>
          <w:lang w:val="en-GB"/>
        </w:rPr>
        <w:t>Erasmus</w:t>
      </w:r>
      <w:r>
        <w:rPr>
          <w:rFonts w:ascii="Century" w:hAnsi="Century"/>
          <w:b/>
          <w:bCs/>
          <w:smallCaps/>
          <w:sz w:val="32"/>
        </w:rPr>
        <w:t xml:space="preserve"> (</w:t>
      </w:r>
      <w:r>
        <w:rPr>
          <w:rFonts w:ascii="Century" w:hAnsi="Century"/>
          <w:b/>
          <w:bCs/>
          <w:smallCaps/>
          <w:sz w:val="32"/>
          <w:lang w:val="en-GB"/>
        </w:rPr>
        <w:t>EILCs</w:t>
      </w:r>
      <w:r w:rsidR="00B0331B">
        <w:rPr>
          <w:rFonts w:ascii="Century" w:hAnsi="Century"/>
          <w:b/>
          <w:bCs/>
          <w:smallCaps/>
          <w:sz w:val="32"/>
        </w:rPr>
        <w:t>) 20</w:t>
      </w:r>
      <w:r w:rsidR="00C47F94">
        <w:rPr>
          <w:rFonts w:ascii="Century" w:hAnsi="Century"/>
          <w:b/>
          <w:bCs/>
          <w:smallCaps/>
          <w:sz w:val="32"/>
        </w:rPr>
        <w:t>1</w:t>
      </w:r>
      <w:r w:rsidR="00B407B4">
        <w:rPr>
          <w:rFonts w:ascii="Century" w:hAnsi="Century"/>
          <w:b/>
          <w:bCs/>
          <w:smallCaps/>
          <w:sz w:val="32"/>
        </w:rPr>
        <w:t>3</w:t>
      </w:r>
      <w:r w:rsidR="00B0331B">
        <w:rPr>
          <w:rFonts w:ascii="Century" w:hAnsi="Century"/>
          <w:b/>
          <w:bCs/>
          <w:smallCaps/>
          <w:sz w:val="32"/>
        </w:rPr>
        <w:t>/1</w:t>
      </w:r>
      <w:r w:rsidR="00B407B4">
        <w:rPr>
          <w:rFonts w:ascii="Century" w:hAnsi="Century"/>
          <w:b/>
          <w:bCs/>
          <w:smallCaps/>
          <w:sz w:val="32"/>
        </w:rPr>
        <w:t>4</w:t>
      </w:r>
    </w:p>
    <w:p w:rsidR="00875960" w:rsidRDefault="00875960">
      <w:pPr>
        <w:rPr>
          <w:rFonts w:ascii="Century" w:hAnsi="Century"/>
          <w:b/>
          <w:bCs/>
          <w:smallCaps/>
          <w:sz w:val="28"/>
          <w:highlight w:val="yellow"/>
        </w:rPr>
      </w:pPr>
    </w:p>
    <w:p w:rsidR="00875960" w:rsidRDefault="00875960">
      <w:pPr>
        <w:pStyle w:val="2"/>
      </w:pPr>
      <w:r>
        <w:t>Κριτήρια επιλεξιμότητας</w:t>
      </w:r>
    </w:p>
    <w:p w:rsidR="00C47F94" w:rsidRDefault="00875960">
      <w:pPr>
        <w:pStyle w:val="a3"/>
        <w:rPr>
          <w:sz w:val="22"/>
          <w:lang w:val="en-US"/>
        </w:rPr>
      </w:pPr>
      <w:r>
        <w:rPr>
          <w:sz w:val="22"/>
        </w:rPr>
        <w:t xml:space="preserve">Μόνο οι φοιτητές οι οποίοι έχουν επιλεγεί να διανύσουν μία περίοδο </w:t>
      </w:r>
      <w:r>
        <w:rPr>
          <w:sz w:val="22"/>
          <w:lang w:val="en-GB"/>
        </w:rPr>
        <w:t>Erasmus</w:t>
      </w:r>
      <w:r>
        <w:rPr>
          <w:sz w:val="22"/>
        </w:rPr>
        <w:t xml:space="preserve"> (χρονικό διάστημα από ένα ακαδημαϊκό τρίμηνο έως 12 μήνες) σε Ίδρυμα μίας από τις Χώρες – Μέλη με τις λιγότερο ομιλούμενες και διδασκόμενες γλώσσες, έχουν δικαίωμα συμμετοχής στα μαθήματα εντατικής γλωσσικής προετοιμασίας που διοργανώνονται στη χώρα αυτή.</w:t>
      </w:r>
      <w:r w:rsidR="00B0331B" w:rsidRPr="00B0331B">
        <w:rPr>
          <w:sz w:val="22"/>
        </w:rPr>
        <w:t xml:space="preserve"> </w:t>
      </w:r>
    </w:p>
    <w:p w:rsidR="00B8231D" w:rsidRPr="00B8231D" w:rsidRDefault="00B8231D">
      <w:pPr>
        <w:pStyle w:val="a3"/>
        <w:rPr>
          <w:b/>
          <w:sz w:val="22"/>
          <w:lang w:val="en-US"/>
        </w:rPr>
      </w:pPr>
    </w:p>
    <w:p w:rsidR="00875960" w:rsidRPr="00C47F94" w:rsidRDefault="00875960">
      <w:pPr>
        <w:pStyle w:val="a3"/>
        <w:rPr>
          <w:sz w:val="22"/>
        </w:rPr>
      </w:pPr>
      <w:r w:rsidRPr="00B0331B">
        <w:rPr>
          <w:sz w:val="22"/>
        </w:rPr>
        <w:t>Προτεραιότητα έχουν οι φοιτητές που μετακινούνται για μεγαλύτερο διάστημα για σπουδές ή/ και πρακτική άσκηση.</w:t>
      </w:r>
    </w:p>
    <w:p w:rsidR="00B0331B" w:rsidRPr="00C47F94" w:rsidRDefault="00B0331B">
      <w:pPr>
        <w:pStyle w:val="a3"/>
        <w:rPr>
          <w:sz w:val="22"/>
        </w:rPr>
      </w:pPr>
    </w:p>
    <w:p w:rsidR="00875960" w:rsidRDefault="00875960">
      <w:pPr>
        <w:pStyle w:val="a3"/>
        <w:rPr>
          <w:sz w:val="22"/>
        </w:rPr>
      </w:pPr>
      <w:r>
        <w:rPr>
          <w:sz w:val="22"/>
        </w:rPr>
        <w:t>Τα μαθήματα προσφέρονται σε δύο επίπεδα (αρχαρίων και μέσων). Φοιτητές των οποίων το κύριο αντικείμενο σπουδών είναι η γλώσσα της διοργανώτριας χώρας, κατά κανόνα δεν είναι επιλέξιμοι.</w:t>
      </w:r>
    </w:p>
    <w:p w:rsidR="00875960" w:rsidRDefault="00875960">
      <w:pPr>
        <w:pStyle w:val="a3"/>
        <w:rPr>
          <w:sz w:val="22"/>
          <w:highlight w:val="yellow"/>
        </w:rPr>
      </w:pPr>
    </w:p>
    <w:p w:rsidR="00875960" w:rsidRDefault="00875960">
      <w:pPr>
        <w:jc w:val="both"/>
      </w:pPr>
      <w:r>
        <w:rPr>
          <w:rFonts w:ascii="Century" w:hAnsi="Century"/>
          <w:b/>
          <w:i/>
          <w:iCs/>
        </w:rPr>
        <w:t>Τελική επιλογή</w:t>
      </w:r>
    </w:p>
    <w:p w:rsidR="00875960" w:rsidRDefault="00875960">
      <w:pPr>
        <w:pStyle w:val="a3"/>
        <w:rPr>
          <w:sz w:val="22"/>
        </w:rPr>
      </w:pPr>
      <w:r>
        <w:rPr>
          <w:sz w:val="22"/>
        </w:rPr>
        <w:t xml:space="preserve">Η τελική επιλογή των φοιτητών θα πραγματοποιηθεί σε συνεργασία μεταξύ του Ιδρύματος – Διοργανωτή, της Ε.Μ. της χώρας υποδοχής και του Ιδρύματος Προέλευσης το οποίο έχει και την ευθύνη για την επιβεβαίωση ότι οι προτεινόμενοι φοιτητές θα μετακινηθούν μέσω του προγράμματος </w:t>
      </w:r>
      <w:r>
        <w:rPr>
          <w:sz w:val="22"/>
          <w:lang w:val="en-GB"/>
        </w:rPr>
        <w:t>Erasmus</w:t>
      </w:r>
      <w:r>
        <w:rPr>
          <w:sz w:val="22"/>
        </w:rPr>
        <w:t>. Σημαντικό κριτήριο αποτελεί η ισόρροπη συμμετοχή ανά γνωστικό αντικείμενο και η ισόρροπη γεωγραφική εκπροσώπηση.</w:t>
      </w:r>
    </w:p>
    <w:p w:rsidR="00875960" w:rsidRDefault="00875960">
      <w:pPr>
        <w:pStyle w:val="a3"/>
      </w:pPr>
    </w:p>
    <w:p w:rsidR="00875960" w:rsidRDefault="00875960">
      <w:pPr>
        <w:pStyle w:val="a3"/>
        <w:rPr>
          <w:b/>
          <w:bCs w:val="0"/>
          <w:i/>
          <w:iCs/>
        </w:rPr>
      </w:pPr>
      <w:r>
        <w:rPr>
          <w:b/>
          <w:bCs w:val="0"/>
          <w:i/>
          <w:iCs/>
        </w:rPr>
        <w:t>Διαδικασία επιλογής</w:t>
      </w:r>
    </w:p>
    <w:p w:rsidR="00875960" w:rsidRDefault="00875960">
      <w:pPr>
        <w:pStyle w:val="a3"/>
        <w:numPr>
          <w:ilvl w:val="0"/>
          <w:numId w:val="2"/>
        </w:numPr>
        <w:tabs>
          <w:tab w:val="clear" w:pos="703"/>
          <w:tab w:val="num" w:pos="360"/>
        </w:tabs>
        <w:ind w:left="360"/>
        <w:rPr>
          <w:sz w:val="22"/>
        </w:rPr>
      </w:pPr>
      <w:r>
        <w:rPr>
          <w:sz w:val="22"/>
        </w:rPr>
        <w:t xml:space="preserve">Οι φοιτητές υποβάλλουν τις αιτήσεις τους στο γραφείο </w:t>
      </w:r>
      <w:r>
        <w:rPr>
          <w:sz w:val="22"/>
          <w:lang w:val="en-GB"/>
        </w:rPr>
        <w:t>Erasmus</w:t>
      </w:r>
      <w:r>
        <w:rPr>
          <w:sz w:val="22"/>
        </w:rPr>
        <w:t xml:space="preserve"> του Ιδρύματος που είναι εγγεγραμμένοι (Ίδρυμα Προέλευσης)</w:t>
      </w:r>
      <w:r>
        <w:rPr>
          <w:rStyle w:val="a5"/>
          <w:sz w:val="22"/>
        </w:rPr>
        <w:footnoteReference w:id="1"/>
      </w:r>
      <w:r>
        <w:rPr>
          <w:sz w:val="22"/>
        </w:rPr>
        <w:t>.</w:t>
      </w:r>
    </w:p>
    <w:p w:rsidR="00875960" w:rsidRDefault="00875960">
      <w:pPr>
        <w:pStyle w:val="a3"/>
        <w:numPr>
          <w:ilvl w:val="0"/>
          <w:numId w:val="2"/>
        </w:numPr>
        <w:tabs>
          <w:tab w:val="clear" w:pos="703"/>
          <w:tab w:val="num" w:pos="360"/>
        </w:tabs>
        <w:ind w:left="360"/>
        <w:rPr>
          <w:sz w:val="22"/>
        </w:rPr>
      </w:pPr>
      <w:r>
        <w:rPr>
          <w:sz w:val="22"/>
        </w:rPr>
        <w:t>Μετά την εξακρίβωση της σωστής συμπλήρωσης των στοιχείων, το Ίδρυμα Προέλευσης αναλαμβάνει την προώθηση της αίτησης στο Ίδρυμα – Διοργανωτή</w:t>
      </w:r>
      <w:r>
        <w:rPr>
          <w:rStyle w:val="a5"/>
          <w:sz w:val="22"/>
        </w:rPr>
        <w:footnoteReference w:id="2"/>
      </w:r>
      <w:r>
        <w:rPr>
          <w:sz w:val="22"/>
        </w:rPr>
        <w:t xml:space="preserve"> </w:t>
      </w:r>
      <w:r>
        <w:rPr>
          <w:b/>
          <w:bCs w:val="0"/>
          <w:sz w:val="22"/>
        </w:rPr>
        <w:t>μόνο ηλεκτρονικά</w:t>
      </w:r>
      <w:r>
        <w:rPr>
          <w:sz w:val="22"/>
        </w:rPr>
        <w:t xml:space="preserve">. Μαζί με την αίτηση αποστέλλεται </w:t>
      </w:r>
      <w:r>
        <w:rPr>
          <w:b/>
          <w:bCs w:val="0"/>
          <w:sz w:val="22"/>
        </w:rPr>
        <w:t xml:space="preserve">ηλεκτρονικά </w:t>
      </w:r>
      <w:r>
        <w:rPr>
          <w:sz w:val="22"/>
        </w:rPr>
        <w:t xml:space="preserve">και η </w:t>
      </w:r>
      <w:r>
        <w:rPr>
          <w:i/>
          <w:iCs/>
          <w:sz w:val="22"/>
        </w:rPr>
        <w:t>βεβαίωση</w:t>
      </w:r>
      <w:r>
        <w:rPr>
          <w:sz w:val="22"/>
        </w:rPr>
        <w:t xml:space="preserve"> πως οι φοιτητές έχουν επιλεγεί για περίοδο </w:t>
      </w:r>
      <w:r>
        <w:rPr>
          <w:sz w:val="22"/>
          <w:lang w:val="en-GB"/>
        </w:rPr>
        <w:t>Erasmus</w:t>
      </w:r>
      <w:r>
        <w:rPr>
          <w:sz w:val="22"/>
        </w:rPr>
        <w:t xml:space="preserve"> για σπουδές ή /και πρακτική άσκηση στη χώρα όπου διοργανώνονται τα </w:t>
      </w:r>
      <w:r>
        <w:rPr>
          <w:sz w:val="22"/>
          <w:lang w:val="en-GB"/>
        </w:rPr>
        <w:t>EILCs</w:t>
      </w:r>
      <w:r>
        <w:rPr>
          <w:rStyle w:val="a5"/>
          <w:sz w:val="22"/>
        </w:rPr>
        <w:footnoteReference w:id="3"/>
      </w:r>
      <w:r>
        <w:rPr>
          <w:sz w:val="22"/>
        </w:rPr>
        <w:t>. Η διεύθυνση στην οποία αποστέλλονται οι αιτήσεις αναφέρεται στο πληροφοριακό υλικό του Ιδρύματος – Διοργανωτή, στην Ιστοσελίδα της Ε.Ε.:</w:t>
      </w:r>
    </w:p>
    <w:p w:rsidR="00B5079A" w:rsidRPr="00B5079A" w:rsidRDefault="00B5079A" w:rsidP="00B5079A">
      <w:pPr>
        <w:pStyle w:val="a3"/>
        <w:ind w:left="360"/>
      </w:pPr>
      <w:hyperlink r:id="rId7" w:history="1">
        <w:r w:rsidRPr="00B5079A">
          <w:rPr>
            <w:rStyle w:val="-"/>
          </w:rPr>
          <w:t>http://ec.europa.eu/education/erasmus/doc902_e</w:t>
        </w:r>
        <w:r w:rsidRPr="00B5079A">
          <w:rPr>
            <w:rStyle w:val="-"/>
          </w:rPr>
          <w:t>n</w:t>
        </w:r>
        <w:r w:rsidRPr="00B5079A">
          <w:rPr>
            <w:rStyle w:val="-"/>
          </w:rPr>
          <w:t>.htm</w:t>
        </w:r>
      </w:hyperlink>
    </w:p>
    <w:p w:rsidR="00B5079A" w:rsidRPr="00B5079A" w:rsidRDefault="00B5079A" w:rsidP="00B5079A">
      <w:pPr>
        <w:pStyle w:val="a3"/>
        <w:ind w:left="360"/>
        <w:rPr>
          <w:sz w:val="22"/>
        </w:rPr>
      </w:pPr>
    </w:p>
    <w:p w:rsidR="00875960" w:rsidRDefault="00875960">
      <w:pPr>
        <w:pStyle w:val="a3"/>
        <w:numPr>
          <w:ilvl w:val="0"/>
          <w:numId w:val="2"/>
        </w:numPr>
        <w:tabs>
          <w:tab w:val="clear" w:pos="703"/>
          <w:tab w:val="num" w:pos="360"/>
        </w:tabs>
        <w:ind w:left="360"/>
        <w:rPr>
          <w:b/>
          <w:bCs w:val="0"/>
          <w:sz w:val="22"/>
        </w:rPr>
      </w:pPr>
      <w:r>
        <w:rPr>
          <w:b/>
          <w:bCs w:val="0"/>
          <w:sz w:val="22"/>
        </w:rPr>
        <w:lastRenderedPageBreak/>
        <w:t>Αντίγραφα των αιτήσεων καθώς και συγκεντρωτικός κατάλογος αποστέλλονται στην Ε.Μ. (</w:t>
      </w:r>
      <w:r>
        <w:rPr>
          <w:rFonts w:ascii="Times New Roman" w:hAnsi="Times New Roman"/>
          <w:b/>
          <w:bCs w:val="0"/>
          <w:sz w:val="22"/>
        </w:rPr>
        <w:t xml:space="preserve">μόνο </w:t>
      </w:r>
      <w:r>
        <w:rPr>
          <w:b/>
          <w:bCs w:val="0"/>
          <w:sz w:val="22"/>
        </w:rPr>
        <w:t xml:space="preserve">με </w:t>
      </w:r>
      <w:r>
        <w:rPr>
          <w:b/>
          <w:bCs w:val="0"/>
          <w:sz w:val="22"/>
          <w:lang w:val="en-GB"/>
        </w:rPr>
        <w:t>e</w:t>
      </w:r>
      <w:r>
        <w:rPr>
          <w:b/>
          <w:bCs w:val="0"/>
          <w:sz w:val="22"/>
        </w:rPr>
        <w:t>-</w:t>
      </w:r>
      <w:proofErr w:type="spellStart"/>
      <w:r>
        <w:rPr>
          <w:b/>
          <w:bCs w:val="0"/>
          <w:sz w:val="22"/>
          <w:lang w:val="en-GB"/>
        </w:rPr>
        <w:t>mai</w:t>
      </w:r>
      <w:proofErr w:type="spellEnd"/>
      <w:r>
        <w:rPr>
          <w:b/>
          <w:bCs w:val="0"/>
          <w:sz w:val="22"/>
          <w:lang w:val="en-US"/>
        </w:rPr>
        <w:t>l</w:t>
      </w:r>
      <w:r>
        <w:rPr>
          <w:b/>
          <w:bCs w:val="0"/>
          <w:sz w:val="22"/>
        </w:rPr>
        <w:t>).</w:t>
      </w:r>
    </w:p>
    <w:p w:rsidR="00875960" w:rsidRDefault="00875960">
      <w:pPr>
        <w:pStyle w:val="a3"/>
        <w:numPr>
          <w:ilvl w:val="0"/>
          <w:numId w:val="2"/>
        </w:numPr>
        <w:tabs>
          <w:tab w:val="clear" w:pos="703"/>
          <w:tab w:val="num" w:pos="360"/>
        </w:tabs>
        <w:ind w:left="360"/>
        <w:rPr>
          <w:sz w:val="22"/>
        </w:rPr>
      </w:pPr>
      <w:r>
        <w:rPr>
          <w:sz w:val="22"/>
        </w:rPr>
        <w:t>Η Ε.Μ. αποστέλλε</w:t>
      </w:r>
      <w:r>
        <w:rPr>
          <w:rFonts w:hint="eastAsia"/>
          <w:sz w:val="22"/>
        </w:rPr>
        <w:t>ι</w:t>
      </w:r>
      <w:r>
        <w:rPr>
          <w:sz w:val="22"/>
        </w:rPr>
        <w:t xml:space="preserve"> </w:t>
      </w:r>
      <w:r w:rsidR="00B36821">
        <w:rPr>
          <w:sz w:val="22"/>
        </w:rPr>
        <w:t>στους φοιτητές</w:t>
      </w:r>
      <w:r>
        <w:rPr>
          <w:sz w:val="22"/>
        </w:rPr>
        <w:t xml:space="preserve"> τα έγγραφα που αφορούν στον φοιτητή </w:t>
      </w:r>
      <w:r>
        <w:rPr>
          <w:sz w:val="22"/>
          <w:lang w:val="en-US"/>
        </w:rPr>
        <w:t>EILCs</w:t>
      </w:r>
      <w:r w:rsidR="00B36821">
        <w:rPr>
          <w:sz w:val="22"/>
        </w:rPr>
        <w:t xml:space="preserve"> (σύμβαση, ερωτηματολόγιο</w:t>
      </w:r>
      <w:r>
        <w:rPr>
          <w:sz w:val="22"/>
        </w:rPr>
        <w:t xml:space="preserve">) και </w:t>
      </w:r>
      <w:r>
        <w:rPr>
          <w:b/>
          <w:bCs w:val="0"/>
          <w:sz w:val="22"/>
        </w:rPr>
        <w:t xml:space="preserve">στη συνέχεια </w:t>
      </w:r>
      <w:r w:rsidR="00B36821">
        <w:rPr>
          <w:b/>
          <w:bCs w:val="0"/>
          <w:sz w:val="22"/>
        </w:rPr>
        <w:t>οι φοιτητές</w:t>
      </w:r>
      <w:r>
        <w:rPr>
          <w:rFonts w:ascii="Times New Roman" w:hAnsi="Times New Roman"/>
          <w:sz w:val="22"/>
        </w:rPr>
        <w:t xml:space="preserve"> </w:t>
      </w:r>
      <w:r w:rsidR="00B36821">
        <w:rPr>
          <w:rFonts w:ascii="Times New Roman" w:hAnsi="Times New Roman"/>
          <w:sz w:val="22"/>
        </w:rPr>
        <w:t>επιστρέφ</w:t>
      </w:r>
      <w:r>
        <w:rPr>
          <w:rFonts w:ascii="Times New Roman" w:hAnsi="Times New Roman"/>
          <w:sz w:val="22"/>
        </w:rPr>
        <w:t xml:space="preserve">ουν στο ΙΚΥ τη σύμβαση υπογεγραμμένη σε δύο αντίτυπα, για να χρηματοδοτηθούν. </w:t>
      </w:r>
      <w:r w:rsidR="00B36821">
        <w:rPr>
          <w:rFonts w:ascii="Times New Roman" w:hAnsi="Times New Roman"/>
          <w:sz w:val="22"/>
        </w:rPr>
        <w:t>Με το πέρας των μαθημάτων και σε διάστημα 2 εβδομάδων οι φοιτητές είναι υποχρεωμένοι να στείλουν στην Ε.Μ. το ερωτηματολόγιο και τη βεβαίωση παρακολούθησης των μαθημάτων.</w:t>
      </w:r>
    </w:p>
    <w:sectPr w:rsidR="00875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D2D" w:rsidRDefault="001F3D2D">
      <w:r>
        <w:separator/>
      </w:r>
    </w:p>
  </w:endnote>
  <w:endnote w:type="continuationSeparator" w:id="0">
    <w:p w:rsidR="001F3D2D" w:rsidRDefault="001F3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D2D" w:rsidRDefault="001F3D2D">
      <w:r>
        <w:separator/>
      </w:r>
    </w:p>
  </w:footnote>
  <w:footnote w:type="continuationSeparator" w:id="0">
    <w:p w:rsidR="001F3D2D" w:rsidRDefault="001F3D2D">
      <w:r>
        <w:continuationSeparator/>
      </w:r>
    </w:p>
  </w:footnote>
  <w:footnote w:id="1">
    <w:p w:rsidR="00875960" w:rsidRDefault="00875960">
      <w:pPr>
        <w:pStyle w:val="a4"/>
        <w:rPr>
          <w:rFonts w:ascii="Century" w:hAnsi="Century"/>
        </w:rPr>
      </w:pPr>
      <w:r>
        <w:rPr>
          <w:rStyle w:val="a5"/>
          <w:rFonts w:ascii="Century" w:hAnsi="Century"/>
        </w:rPr>
        <w:footnoteRef/>
      </w:r>
      <w:r>
        <w:rPr>
          <w:rFonts w:ascii="Century" w:hAnsi="Century"/>
        </w:rPr>
        <w:t xml:space="preserve"> Προτεινόμενες </w:t>
      </w:r>
      <w:r w:rsidR="00251C93">
        <w:rPr>
          <w:rFonts w:ascii="Century" w:hAnsi="Century"/>
        </w:rPr>
        <w:t xml:space="preserve">καταληκτικές </w:t>
      </w:r>
      <w:r>
        <w:rPr>
          <w:rFonts w:ascii="Century" w:hAnsi="Century"/>
        </w:rPr>
        <w:t xml:space="preserve">ημερομηνίες υποβολής αιτήσεων των φοιτητών </w:t>
      </w:r>
      <w:r>
        <w:rPr>
          <w:rFonts w:ascii="Century" w:hAnsi="Century" w:hint="eastAsia"/>
        </w:rPr>
        <w:t>προς</w:t>
      </w:r>
      <w:r>
        <w:rPr>
          <w:rFonts w:ascii="Century" w:hAnsi="Century"/>
        </w:rPr>
        <w:t xml:space="preserve"> τα Ιδρύματά τους:</w:t>
      </w:r>
    </w:p>
    <w:p w:rsidR="00875960" w:rsidRPr="00B8231D" w:rsidRDefault="00B407B4">
      <w:pPr>
        <w:pStyle w:val="a4"/>
        <w:ind w:left="180"/>
        <w:rPr>
          <w:rFonts w:ascii="Century" w:hAnsi="Century"/>
          <w:b/>
          <w:bCs/>
          <w:lang w:val="en-US"/>
        </w:rPr>
      </w:pPr>
      <w:r>
        <w:rPr>
          <w:rFonts w:ascii="Century" w:hAnsi="Century"/>
          <w:b/>
          <w:bCs/>
        </w:rPr>
        <w:t>α’ φάση: 2</w:t>
      </w:r>
      <w:r>
        <w:rPr>
          <w:rFonts w:ascii="Century" w:hAnsi="Century"/>
          <w:b/>
          <w:bCs/>
          <w:lang w:val="en-US"/>
        </w:rPr>
        <w:t>4</w:t>
      </w:r>
      <w:r w:rsidR="00B0331B">
        <w:rPr>
          <w:rFonts w:ascii="Century" w:hAnsi="Century"/>
          <w:b/>
          <w:bCs/>
        </w:rPr>
        <w:t>/5/20</w:t>
      </w:r>
      <w:r w:rsidR="00C47F94">
        <w:rPr>
          <w:rFonts w:ascii="Century" w:hAnsi="Century"/>
          <w:b/>
          <w:bCs/>
          <w:lang w:val="en-US"/>
        </w:rPr>
        <w:t>1</w:t>
      </w:r>
      <w:r>
        <w:rPr>
          <w:rFonts w:ascii="Century" w:hAnsi="Century"/>
          <w:b/>
          <w:bCs/>
          <w:lang w:val="en-US"/>
        </w:rPr>
        <w:t>3</w:t>
      </w:r>
    </w:p>
    <w:p w:rsidR="00875960" w:rsidRPr="00B8231D" w:rsidRDefault="00875960">
      <w:pPr>
        <w:pStyle w:val="a4"/>
        <w:ind w:left="180"/>
        <w:rPr>
          <w:rFonts w:ascii="Century" w:hAnsi="Century"/>
          <w:b/>
          <w:bCs/>
          <w:lang w:val="en-US"/>
        </w:rPr>
      </w:pPr>
      <w:r>
        <w:rPr>
          <w:rFonts w:ascii="Century" w:hAnsi="Century"/>
          <w:b/>
          <w:bCs/>
        </w:rPr>
        <w:t>β’ φά</w:t>
      </w:r>
      <w:r w:rsidR="00B5079A">
        <w:rPr>
          <w:rFonts w:ascii="Century" w:hAnsi="Century"/>
          <w:b/>
          <w:bCs/>
        </w:rPr>
        <w:t>ση: 2</w:t>
      </w:r>
      <w:r w:rsidR="00B407B4">
        <w:rPr>
          <w:rFonts w:ascii="Century" w:hAnsi="Century"/>
          <w:b/>
          <w:bCs/>
          <w:lang w:val="en-US"/>
        </w:rPr>
        <w:t>5</w:t>
      </w:r>
      <w:r w:rsidR="00B0331B">
        <w:rPr>
          <w:rFonts w:ascii="Century" w:hAnsi="Century"/>
          <w:b/>
          <w:bCs/>
        </w:rPr>
        <w:t>/10/20</w:t>
      </w:r>
      <w:r w:rsidR="00C47F94">
        <w:rPr>
          <w:rFonts w:ascii="Century" w:hAnsi="Century"/>
          <w:b/>
          <w:bCs/>
          <w:lang w:val="en-US"/>
        </w:rPr>
        <w:t>1</w:t>
      </w:r>
      <w:r w:rsidR="00B407B4">
        <w:rPr>
          <w:rFonts w:ascii="Century" w:hAnsi="Century"/>
          <w:b/>
          <w:bCs/>
          <w:lang w:val="en-US"/>
        </w:rPr>
        <w:t>3</w:t>
      </w:r>
    </w:p>
  </w:footnote>
  <w:footnote w:id="2">
    <w:p w:rsidR="00875960" w:rsidRDefault="00875960">
      <w:pPr>
        <w:pStyle w:val="a4"/>
      </w:pPr>
      <w:r>
        <w:rPr>
          <w:rStyle w:val="a5"/>
        </w:rPr>
        <w:footnoteRef/>
      </w:r>
      <w:r>
        <w:t xml:space="preserve"> </w:t>
      </w:r>
      <w:r>
        <w:t>Καταληκτικές ημερομηνίες υποβολής των αιτήσεων προς τα Ιδρύματα-Διοργανωτές:</w:t>
      </w:r>
    </w:p>
    <w:p w:rsidR="00875960" w:rsidRPr="00B8231D" w:rsidRDefault="00B5079A">
      <w:pPr>
        <w:pStyle w:val="a4"/>
        <w:rPr>
          <w:b/>
          <w:bCs/>
        </w:rPr>
      </w:pPr>
      <w:proofErr w:type="spellStart"/>
      <w:r>
        <w:rPr>
          <w:b/>
          <w:bCs/>
        </w:rPr>
        <w:t>α΄φάση</w:t>
      </w:r>
      <w:proofErr w:type="spellEnd"/>
      <w:r>
        <w:rPr>
          <w:b/>
          <w:bCs/>
        </w:rPr>
        <w:t xml:space="preserve">: </w:t>
      </w:r>
      <w:r w:rsidR="00875960">
        <w:rPr>
          <w:b/>
          <w:bCs/>
        </w:rPr>
        <w:t xml:space="preserve"> </w:t>
      </w:r>
      <w:r w:rsidR="00B407B4" w:rsidRPr="00B407B4">
        <w:rPr>
          <w:b/>
          <w:bCs/>
        </w:rPr>
        <w:t>31</w:t>
      </w:r>
      <w:r w:rsidR="00B36821" w:rsidRPr="00B36821">
        <w:rPr>
          <w:b/>
          <w:bCs/>
          <w:vertAlign w:val="superscript"/>
        </w:rPr>
        <w:t>η</w:t>
      </w:r>
      <w:r w:rsidR="00B36821">
        <w:rPr>
          <w:b/>
          <w:bCs/>
        </w:rPr>
        <w:t xml:space="preserve"> </w:t>
      </w:r>
      <w:proofErr w:type="spellStart"/>
      <w:r w:rsidR="00B407B4">
        <w:rPr>
          <w:b/>
          <w:bCs/>
        </w:rPr>
        <w:t>Μαίου</w:t>
      </w:r>
      <w:proofErr w:type="spellEnd"/>
      <w:r w:rsidR="00B0331B">
        <w:rPr>
          <w:b/>
          <w:bCs/>
        </w:rPr>
        <w:t xml:space="preserve"> 20</w:t>
      </w:r>
      <w:r w:rsidR="00B407B4">
        <w:rPr>
          <w:b/>
          <w:bCs/>
        </w:rPr>
        <w:t xml:space="preserve">13 </w:t>
      </w:r>
    </w:p>
    <w:p w:rsidR="00875960" w:rsidRPr="00B8231D" w:rsidRDefault="00B5079A">
      <w:pPr>
        <w:pStyle w:val="a4"/>
        <w:rPr>
          <w:b/>
          <w:bCs/>
        </w:rPr>
      </w:pPr>
      <w:r>
        <w:rPr>
          <w:b/>
          <w:bCs/>
        </w:rPr>
        <w:t xml:space="preserve">β’ φάση: </w:t>
      </w:r>
      <w:r w:rsidR="00B407B4">
        <w:rPr>
          <w:b/>
          <w:bCs/>
        </w:rPr>
        <w:t>1</w:t>
      </w:r>
      <w:r w:rsidR="00B407B4" w:rsidRPr="00B407B4">
        <w:rPr>
          <w:b/>
          <w:bCs/>
          <w:vertAlign w:val="superscript"/>
        </w:rPr>
        <w:t>η</w:t>
      </w:r>
      <w:r w:rsidR="00B407B4">
        <w:rPr>
          <w:b/>
          <w:bCs/>
        </w:rPr>
        <w:t xml:space="preserve"> Νοεμβρίου</w:t>
      </w:r>
      <w:r w:rsidR="00B36821">
        <w:rPr>
          <w:b/>
          <w:bCs/>
        </w:rPr>
        <w:t xml:space="preserve"> </w:t>
      </w:r>
      <w:r w:rsidR="00B0331B">
        <w:rPr>
          <w:b/>
          <w:bCs/>
        </w:rPr>
        <w:t xml:space="preserve">Οκτωβρίου </w:t>
      </w:r>
      <w:r w:rsidR="00B407B4">
        <w:rPr>
          <w:b/>
          <w:bCs/>
        </w:rPr>
        <w:t>2013</w:t>
      </w:r>
    </w:p>
  </w:footnote>
  <w:footnote w:id="3">
    <w:p w:rsidR="00875960" w:rsidRDefault="00875960">
      <w:pPr>
        <w:pStyle w:val="a4"/>
        <w:jc w:val="both"/>
        <w:rPr>
          <w:rFonts w:ascii="Century" w:hAnsi="Century"/>
        </w:rPr>
      </w:pPr>
      <w:r>
        <w:rPr>
          <w:rStyle w:val="a5"/>
          <w:rFonts w:ascii="Century" w:hAnsi="Century"/>
        </w:rPr>
        <w:footnoteRef/>
      </w:r>
      <w:r>
        <w:rPr>
          <w:rFonts w:ascii="Century" w:hAnsi="Century"/>
        </w:rPr>
        <w:t xml:space="preserve"> </w:t>
      </w:r>
      <w:r>
        <w:rPr>
          <w:rFonts w:ascii="Century" w:hAnsi="Century"/>
        </w:rPr>
        <w:t xml:space="preserve">Σε περίπτωση που η καταληκτική ημερομηνία επιλογής φοιτητών </w:t>
      </w:r>
      <w:r>
        <w:rPr>
          <w:rFonts w:ascii="Century" w:hAnsi="Century"/>
          <w:lang w:val="en-GB"/>
        </w:rPr>
        <w:t>Erasmus</w:t>
      </w:r>
      <w:r>
        <w:rPr>
          <w:rFonts w:ascii="Century" w:hAnsi="Century"/>
        </w:rPr>
        <w:t xml:space="preserve"> είναι μεταγενέστερη από την καταληκτική ημερομηνία υποβολής αίτησης για συμμετοχή στα </w:t>
      </w:r>
      <w:r>
        <w:rPr>
          <w:rFonts w:ascii="Century" w:hAnsi="Century"/>
          <w:lang w:val="en-GB"/>
        </w:rPr>
        <w:t>EILCs</w:t>
      </w:r>
      <w:r>
        <w:rPr>
          <w:rFonts w:ascii="Century" w:hAnsi="Century"/>
        </w:rPr>
        <w:t xml:space="preserve">, η τελική επιβεβαίωση συμμετοχής στα </w:t>
      </w:r>
      <w:r>
        <w:rPr>
          <w:rFonts w:ascii="Century" w:hAnsi="Century"/>
          <w:lang w:val="en-GB"/>
        </w:rPr>
        <w:t>EILCs</w:t>
      </w:r>
      <w:r>
        <w:rPr>
          <w:rFonts w:ascii="Century" w:hAnsi="Century"/>
        </w:rPr>
        <w:t xml:space="preserve"> θα πραγματοποιηθεί μετά την οριστική επιλογή του φοιτητή για συμμετοχή στο </w:t>
      </w:r>
      <w:r>
        <w:rPr>
          <w:rFonts w:ascii="Century" w:hAnsi="Century"/>
          <w:lang w:val="en-GB"/>
        </w:rPr>
        <w:t>Erasmus</w:t>
      </w:r>
      <w:r>
        <w:rPr>
          <w:rFonts w:ascii="Century" w:hAnsi="Century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340"/>
    <w:multiLevelType w:val="hybridMultilevel"/>
    <w:tmpl w:val="B0CE574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47910BA"/>
    <w:multiLevelType w:val="hybridMultilevel"/>
    <w:tmpl w:val="86945F8E"/>
    <w:lvl w:ilvl="0" w:tplc="46360244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03CB5"/>
    <w:multiLevelType w:val="hybridMultilevel"/>
    <w:tmpl w:val="4E14DE82"/>
    <w:lvl w:ilvl="0" w:tplc="7F8CBEC0">
      <w:numFmt w:val="bullet"/>
      <w:lvlText w:val="-"/>
      <w:lvlJc w:val="left"/>
      <w:pPr>
        <w:tabs>
          <w:tab w:val="num" w:pos="700"/>
        </w:tabs>
        <w:ind w:left="454" w:hanging="114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6712CC"/>
    <w:multiLevelType w:val="hybridMultilevel"/>
    <w:tmpl w:val="86945F8E"/>
    <w:lvl w:ilvl="0" w:tplc="FBA20C2A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1F58FD"/>
    <w:multiLevelType w:val="hybridMultilevel"/>
    <w:tmpl w:val="751049E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0E51DF"/>
    <w:multiLevelType w:val="hybridMultilevel"/>
    <w:tmpl w:val="4E14DE82"/>
    <w:lvl w:ilvl="0" w:tplc="FBA20C2A">
      <w:start w:val="1"/>
      <w:numFmt w:val="bullet"/>
      <w:lvlText w:val=""/>
      <w:lvlJc w:val="left"/>
      <w:pPr>
        <w:tabs>
          <w:tab w:val="num" w:pos="703"/>
        </w:tabs>
        <w:ind w:left="703" w:hanging="3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716617"/>
    <w:multiLevelType w:val="hybridMultilevel"/>
    <w:tmpl w:val="7E88866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876DD"/>
    <w:multiLevelType w:val="hybridMultilevel"/>
    <w:tmpl w:val="86945F8E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D4F"/>
    <w:rsid w:val="001F3D2D"/>
    <w:rsid w:val="00251C93"/>
    <w:rsid w:val="00396BFA"/>
    <w:rsid w:val="00875960"/>
    <w:rsid w:val="009840DC"/>
    <w:rsid w:val="009B5CB3"/>
    <w:rsid w:val="00B0331B"/>
    <w:rsid w:val="00B36821"/>
    <w:rsid w:val="00B407B4"/>
    <w:rsid w:val="00B5079A"/>
    <w:rsid w:val="00B8231D"/>
    <w:rsid w:val="00B834AA"/>
    <w:rsid w:val="00BC0126"/>
    <w:rsid w:val="00C257BA"/>
    <w:rsid w:val="00C31D4F"/>
    <w:rsid w:val="00C4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Century" w:hAnsi="Century"/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Century" w:hAnsi="Century"/>
      <w:b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Century" w:hAnsi="Century"/>
      <w:bCs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-">
    <w:name w:val="Hyperlink"/>
    <w:basedOn w:val="a0"/>
    <w:semiHidden/>
    <w:rPr>
      <w:color w:val="0000FF"/>
      <w:u w:val="single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-0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2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education/erasmus/doc902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ΟΔΗΓΙΕΣ ΓΙΑ ΤΗ ΔΙΑΔΙΚΑΣΙΑ ΕΠΙΛΟΓΗΣ ΕΞΕΡΧΟΜΕΝΩΝ ΦΟΙΤΗΤΩΝ/ΚΑΘΗΓΗΤΩΝ ΓΙΑ ΕΝΤΑΤΙΚΑ ΓΛΩΣΣΙΚΑ ΜΑΘΗΜΑΤΑ ERASMUS (EILCS) 2006</vt:lpstr>
      <vt:lpstr>ΟΔΗΓΙΕΣ ΓΙΑ ΤΗ ΔΙΑΔΙΚΑΣΙΑ ΕΠΙΛΟΓΗΣ ΕΞΕΡΧΟΜΕΝΩΝ ΦΟΙΤΗΤΩΝ/ΚΑΘΗΓΗΤΩΝ ΓΙΑ ΕΝΤΑΤΙΚΑ ΓΛΩΣΣΙΚΑ ΜΑΘΗΜΑΤΑ ERASMUS (EILCS) 2006</vt:lpstr>
    </vt:vector>
  </TitlesOfParts>
  <Company>Microsoft</Company>
  <LinksUpToDate>false</LinksUpToDate>
  <CharactersWithSpaces>2402</CharactersWithSpaces>
  <SharedDoc>false</SharedDoc>
  <HLinks>
    <vt:vector size="6" baseType="variant">
      <vt:variant>
        <vt:i4>6422612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http://ec.europa.eu/education/erasmus/doc902_en.htm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ΟΔΗΓΙΕΣ ΓΙΑ ΤΗ ΔΙΑΔΙΚΑΣΙΑ ΕΠΙΛΟΓΗΣ ΕΞΕΡΧΟΜΕΝΩΝ ΦΟΙΤΗΤΩΝ/ΚΑΘΗΓΗΤΩΝ ΓΙΑ ΕΝΤΑΤΙΚΑ ΓΛΩΣΣΙΚΑ ΜΑΘΗΜΑΤΑ ERASMUS (EILCS) 2006</dc:title>
  <dc:creator>dmarag</dc:creator>
  <cp:lastModifiedBy>maragos dimitris</cp:lastModifiedBy>
  <cp:revision>2</cp:revision>
  <cp:lastPrinted>2008-03-27T10:17:00Z</cp:lastPrinted>
  <dcterms:created xsi:type="dcterms:W3CDTF">2012-12-18T10:33:00Z</dcterms:created>
  <dcterms:modified xsi:type="dcterms:W3CDTF">2012-12-18T10:33:00Z</dcterms:modified>
</cp:coreProperties>
</file>